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Style w:val="Strong"/>
          <w:rFonts w:ascii="Arial" w:hAnsi="Arial" w:eastAsia="Times New Roman" w:cs="Arial"/>
          <w:sz w:val="17"/>
          <w:szCs w:val="17"/>
        </w:rPr>
      </w:pPr>
      <w:r>
        <w:rPr>
          <w:rStyle w:val="Strong"/>
          <w:rFonts w:eastAsia="Times New Roman" w:cs="Arial" w:ascii="Arial" w:hAnsi="Arial"/>
          <w:sz w:val="17"/>
          <w:szCs w:val="17"/>
        </w:rPr>
        <w:t xml:space="preserve">Договор на оказание платных медицинских услуг </w:t>
      </w:r>
    </w:p>
    <w:p>
      <w:pPr>
        <w:pStyle w:val="Normal"/>
        <w:jc w:val="center"/>
        <w:rPr>
          <w:rFonts w:ascii="Arial" w:hAnsi="Arial" w:eastAsia="Times New Roman" w:cs="Arial"/>
          <w:sz w:val="17"/>
          <w:szCs w:val="17"/>
        </w:rPr>
      </w:pPr>
      <w:r>
        <w:rPr>
          <w:rFonts w:eastAsia="Times New Roman" w:cs="Arial" w:ascii="Arial" w:hAnsi="Arial"/>
          <w:sz w:val="17"/>
          <w:szCs w:val="17"/>
        </w:rPr>
        <w:t>(психотерапевтические мероприятия)</w:t>
      </w:r>
    </w:p>
    <w:tbl>
      <w:tblPr>
        <w:tblW w:w="5000" w:type="pct"/>
        <w:jc w:val="center"/>
        <w:tblInd w:w="0" w:type="dxa"/>
        <w:tblLayout w:type="fixed"/>
        <w:tblCellMar>
          <w:top w:w="12" w:type="dxa"/>
          <w:left w:w="12" w:type="dxa"/>
          <w:bottom w:w="12" w:type="dxa"/>
          <w:right w:w="12" w:type="dxa"/>
        </w:tblCellMar>
        <w:tblLook w:val="04a0" w:noHBand="0" w:noVBand="1" w:firstColumn="1" w:lastRow="0" w:lastColumn="0" w:firstRow="1"/>
      </w:tblPr>
      <w:tblGrid>
        <w:gridCol w:w="3985"/>
        <w:gridCol w:w="6503"/>
      </w:tblGrid>
      <w:tr>
        <w:trPr>
          <w:trHeight w:val="347" w:hRule="atLeast"/>
        </w:trPr>
        <w:tc>
          <w:tcPr>
            <w:tcW w:w="3985" w:type="dxa"/>
            <w:tcBorders/>
            <w:vAlign w:val="center"/>
          </w:tcPr>
          <w:p>
            <w:pPr>
              <w:pStyle w:val="Normal"/>
              <w:rPr>
                <w:rFonts w:ascii="Arial" w:hAnsi="Arial" w:eastAsia="Times New Roman" w:cs="Arial"/>
                <w:sz w:val="17"/>
                <w:szCs w:val="17"/>
              </w:rPr>
            </w:pPr>
            <w:r>
              <w:rPr>
                <w:rFonts w:eastAsia="Times New Roman" w:cs="Arial" w:ascii="Arial" w:hAnsi="Arial"/>
                <w:sz w:val="17"/>
                <w:szCs w:val="17"/>
              </w:rPr>
              <w:t>г. Новокузнецк</w:t>
            </w:r>
          </w:p>
        </w:tc>
        <w:tc>
          <w:tcPr>
            <w:tcW w:w="6503" w:type="dxa"/>
            <w:tcBorders/>
            <w:vAlign w:val="center"/>
          </w:tcPr>
          <w:p>
            <w:pPr>
              <w:pStyle w:val="Normal"/>
              <w:jc w:val="right"/>
              <w:rPr>
                <w:rFonts w:ascii="Arial" w:hAnsi="Arial" w:eastAsia="Times New Roman" w:cs="Arial"/>
                <w:sz w:val="17"/>
                <w:szCs w:val="17"/>
              </w:rPr>
            </w:pPr>
            <w:r>
              <w:rPr>
                <w:rFonts w:eastAsia="Times New Roman" w:cs="Arial" w:ascii="Arial" w:hAnsi="Arial"/>
                <w:sz w:val="17"/>
                <w:szCs w:val="17"/>
              </w:rPr>
              <w:t>«___» _______  202__ г.</w:t>
            </w:r>
          </w:p>
        </w:tc>
      </w:tr>
    </w:tbl>
    <w:p>
      <w:pPr>
        <w:pStyle w:val="Normal"/>
        <w:jc w:val="both"/>
        <w:rPr>
          <w:rFonts w:ascii="Arial" w:hAnsi="Arial" w:eastAsia="Times New Roman" w:cs="Arial"/>
          <w:sz w:val="17"/>
          <w:szCs w:val="17"/>
        </w:rPr>
      </w:pPr>
      <w:r>
        <w:rPr>
          <w:rFonts w:eastAsia="Times New Roman" w:cs="Arial" w:ascii="Arial" w:hAnsi="Arial"/>
          <w:sz w:val="17"/>
          <w:szCs w:val="17"/>
        </w:rPr>
      </w:r>
    </w:p>
    <w:p>
      <w:pPr>
        <w:pStyle w:val="Normal"/>
        <w:jc w:val="both"/>
        <w:rPr>
          <w:rFonts w:ascii="Arial" w:hAnsi="Arial" w:eastAsia="Times New Roman" w:cs="Arial"/>
          <w:sz w:val="17"/>
          <w:szCs w:val="17"/>
        </w:rPr>
      </w:pPr>
      <w:r>
        <w:rPr>
          <w:rFonts w:eastAsia="Times New Roman" w:cs="Arial" w:ascii="Arial" w:hAnsi="Arial"/>
          <w:b/>
          <w:sz w:val="17"/>
          <w:szCs w:val="17"/>
        </w:rPr>
        <w:t>Государственное бюджетное учреждение здравоохранения «Новокузнецкий наркологический диспансер»</w:t>
      </w:r>
      <w:r>
        <w:rPr>
          <w:rFonts w:eastAsia="Times New Roman" w:cs="Arial" w:ascii="Arial" w:hAnsi="Arial"/>
          <w:sz w:val="17"/>
          <w:szCs w:val="17"/>
        </w:rPr>
        <w:t xml:space="preserve"> (ГБУЗ ННД), именуемое в дальнейшем «Исполнитель», в лице и.о. </w:t>
      </w:r>
      <w:r>
        <w:rPr>
          <w:rStyle w:val="admin"/>
          <w:rFonts w:eastAsia="Times New Roman" w:cs="Arial" w:ascii="Arial" w:hAnsi="Arial"/>
          <w:sz w:val="17"/>
          <w:szCs w:val="17"/>
        </w:rPr>
        <w:t xml:space="preserve">главного врача Георгиевской О.В., действующей на основании Приказа Минздрава Кузбасса от 16.10.2025 г. № 802-л, </w:t>
      </w:r>
      <w:r>
        <w:rPr>
          <w:rFonts w:eastAsia="Times New Roman" w:cs="Arial" w:ascii="Arial" w:hAnsi="Arial"/>
          <w:sz w:val="17"/>
          <w:szCs w:val="17"/>
        </w:rPr>
        <w:t xml:space="preserve">с одной стороны, и </w:t>
      </w:r>
    </w:p>
    <w:p>
      <w:pPr>
        <w:pStyle w:val="Normal"/>
        <w:jc w:val="both"/>
        <w:rPr>
          <w:rFonts w:ascii="Arial" w:hAnsi="Arial" w:eastAsia="Times New Roman" w:cs="Arial"/>
          <w:sz w:val="17"/>
          <w:szCs w:val="17"/>
        </w:rPr>
      </w:pPr>
      <w:r>
        <w:rPr>
          <w:rFonts w:eastAsia="Times New Roman" w:cs="Arial" w:ascii="Arial" w:hAnsi="Arial"/>
          <w:sz w:val="17"/>
          <w:szCs w:val="17"/>
        </w:rPr>
        <w:t xml:space="preserve">______________________________________________________________________________________________________________, </w:t>
      </w:r>
    </w:p>
    <w:p>
      <w:pPr>
        <w:pStyle w:val="Normal"/>
        <w:jc w:val="center"/>
        <w:rPr>
          <w:rFonts w:ascii="Arial" w:hAnsi="Arial" w:eastAsia="Times New Roman" w:cs="Arial"/>
          <w:b/>
          <w:i/>
          <w:i/>
          <w:sz w:val="15"/>
          <w:szCs w:val="15"/>
        </w:rPr>
      </w:pPr>
      <w:r>
        <w:rPr>
          <w:rFonts w:eastAsia="Times New Roman" w:cs="Arial" w:ascii="Arial" w:hAnsi="Arial"/>
          <w:b/>
          <w:i/>
          <w:sz w:val="15"/>
          <w:szCs w:val="15"/>
        </w:rPr>
        <w:t>(фамилия, имя, отчество (при наличии) гражданина или наименование юридического лица)</w:t>
      </w:r>
    </w:p>
    <w:p>
      <w:pPr>
        <w:pStyle w:val="Normal"/>
        <w:jc w:val="both"/>
        <w:rPr>
          <w:rFonts w:ascii="Arial" w:hAnsi="Arial" w:eastAsia="Times New Roman" w:cs="Arial"/>
          <w:sz w:val="17"/>
          <w:szCs w:val="17"/>
        </w:rPr>
      </w:pPr>
      <w:r>
        <w:rPr>
          <w:rFonts w:eastAsia="Times New Roman" w:cs="Arial" w:ascii="Arial" w:hAnsi="Arial"/>
          <w:sz w:val="17"/>
          <w:szCs w:val="17"/>
        </w:rPr>
        <w:t>именуемый (ая) в дальнейшем «Заказчик», с другой стороны, и</w:t>
      </w:r>
    </w:p>
    <w:p>
      <w:pPr>
        <w:pStyle w:val="Normal"/>
        <w:jc w:val="both"/>
        <w:rPr>
          <w:rFonts w:ascii="Arial" w:hAnsi="Arial" w:eastAsia="Times New Roman" w:cs="Arial"/>
          <w:sz w:val="17"/>
          <w:szCs w:val="17"/>
        </w:rPr>
      </w:pPr>
      <w:r>
        <w:rPr>
          <w:rFonts w:eastAsia="Times New Roman" w:cs="Arial" w:ascii="Arial" w:hAnsi="Arial"/>
          <w:sz w:val="17"/>
          <w:szCs w:val="17"/>
        </w:rPr>
        <w:t xml:space="preserve"> </w:t>
      </w:r>
      <w:r>
        <w:rPr>
          <w:rFonts w:eastAsia="Times New Roman" w:cs="Arial" w:ascii="Arial" w:hAnsi="Arial"/>
          <w:sz w:val="17"/>
          <w:szCs w:val="17"/>
        </w:rPr>
        <w:t xml:space="preserve">_____________________________________________________________________________________________________________, </w:t>
      </w:r>
    </w:p>
    <w:p>
      <w:pPr>
        <w:pStyle w:val="Normal"/>
        <w:jc w:val="center"/>
        <w:rPr>
          <w:rFonts w:ascii="Arial" w:hAnsi="Arial" w:eastAsia="Times New Roman" w:cs="Arial"/>
          <w:b/>
          <w:i/>
          <w:i/>
          <w:sz w:val="15"/>
          <w:szCs w:val="15"/>
        </w:rPr>
      </w:pPr>
      <w:r>
        <w:rPr>
          <w:rFonts w:eastAsia="Times New Roman" w:cs="Arial" w:ascii="Arial" w:hAnsi="Arial"/>
          <w:b/>
          <w:i/>
          <w:sz w:val="15"/>
          <w:szCs w:val="15"/>
        </w:rPr>
        <w:t>(фамилия, имя, отчество (при наличии) гражданина либо законного представителя)</w:t>
      </w:r>
    </w:p>
    <w:p>
      <w:pPr>
        <w:pStyle w:val="Normal"/>
        <w:jc w:val="both"/>
        <w:rPr>
          <w:rFonts w:ascii="Arial" w:hAnsi="Arial" w:eastAsia="Times New Roman" w:cs="Arial"/>
          <w:sz w:val="17"/>
          <w:szCs w:val="17"/>
        </w:rPr>
      </w:pPr>
      <w:r>
        <w:rPr>
          <w:rFonts w:eastAsia="Times New Roman" w:cs="Arial" w:ascii="Arial" w:hAnsi="Arial"/>
          <w:sz w:val="17"/>
          <w:szCs w:val="17"/>
        </w:rPr>
        <w:t xml:space="preserve">именуемый (ая) в дальнейшем «Потребитель», действующий (ая) в своих интересах или в интересах </w:t>
      </w:r>
      <w:r>
        <w:rPr>
          <w:rFonts w:eastAsia="Times New Roman" w:cs="Arial" w:ascii="Arial" w:hAnsi="Arial"/>
          <w:color w:val="000000"/>
          <w:sz w:val="17"/>
          <w:szCs w:val="17"/>
        </w:rPr>
        <w:t>лица, не достигшего 15 лет, или недееспособного гражданина</w:t>
      </w:r>
      <w:r>
        <w:rPr>
          <w:rFonts w:eastAsia="Times New Roman" w:cs="Arial" w:ascii="Arial" w:hAnsi="Arial"/>
          <w:sz w:val="17"/>
          <w:szCs w:val="17"/>
        </w:rPr>
        <w:t xml:space="preserve"> (данные о нем указываются в п. 1.3. Договора), с третьей стороны, вместе именуемые «Стороны», заключили настоящий Договор (далее – Договор) о нижеследующем:</w:t>
      </w:r>
      <w:r>
        <w:rPr>
          <w:rFonts w:eastAsia="Times New Roman" w:cs="Arial" w:ascii="Arial" w:hAnsi="Arial"/>
          <w:b/>
          <w:bCs/>
          <w:color w:val="000000"/>
          <w:sz w:val="17"/>
          <w:szCs w:val="17"/>
        </w:rPr>
        <w:t xml:space="preserve"> </w:t>
      </w:r>
    </w:p>
    <w:p>
      <w:pPr>
        <w:pStyle w:val="NormalWeb"/>
        <w:spacing w:beforeAutospacing="0" w:before="0" w:afterAutospacing="0" w:after="0"/>
        <w:jc w:val="center"/>
        <w:rPr>
          <w:rFonts w:ascii="Arial" w:hAnsi="Arial" w:eastAsia="Times New Roman" w:cs="Arial"/>
          <w:color w:val="000000"/>
          <w:sz w:val="17"/>
          <w:szCs w:val="17"/>
        </w:rPr>
      </w:pPr>
      <w:r>
        <w:rPr>
          <w:rStyle w:val="Strong"/>
          <w:rFonts w:cs="Arial" w:ascii="Arial" w:hAnsi="Arial"/>
          <w:sz w:val="17"/>
          <w:szCs w:val="17"/>
        </w:rPr>
        <w:t xml:space="preserve">1. </w:t>
      </w:r>
      <w:r>
        <w:rPr>
          <w:rFonts w:eastAsia="Times New Roman" w:cs="Arial" w:ascii="Arial" w:hAnsi="Arial"/>
          <w:b/>
          <w:bCs/>
          <w:color w:val="000000"/>
          <w:sz w:val="17"/>
          <w:szCs w:val="17"/>
        </w:rPr>
        <w:t>Предмет Договора</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1.1. Исполнитель обязуется оказать Потребителю медицинские услуги по своему профилю деятельности, а Потребитель (Заказчик) обязуется оплатить оказанные услуги.</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1.2. </w:t>
      </w:r>
      <w:r>
        <w:rPr>
          <w:rStyle w:val="Hyperlink"/>
          <w:rFonts w:eastAsia="Times New Roman" w:cs="Arial" w:ascii="Arial" w:hAnsi="Arial"/>
          <w:color w:val="000000"/>
          <w:sz w:val="17"/>
          <w:szCs w:val="17"/>
          <w:u w:val="none"/>
        </w:rPr>
        <w:t>Исполнитель действует на основании Лицензии на осуществление медицинской деятельности № Л041-01161-42/00323208, выданной Министерством здравоохранения Кузбасса, срок действия лицензии: с 27 августа 2013 года бессрочно; перечень предоставляемых работ (услуг), составляющих медицинскую деятельность, в рамках настоящего договора: психиатрия-наркология, клиническая лабораторная диагностика. С полным перечнем работ (услуг), указанным в едином реестре лицензий, можно ознакомиться на информационных стендах (стойках) Исполнителя, а также на сайте Исполнителя https://nardis.su/about/license/ в сети «Интернет».</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1.3. Данные о несовершеннолетнем или недееспособном потребителе:</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Ф.И.О. _________________________________________________________________ Дата рождения:__________________________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Данные паспорта/свидетельства о рождении):________________________________________________________________________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______________________________________________________________________________________________________________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Адрес места жительства: _________________________________________________________________________________________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Иные адреса (при наличии): ______________________________________________________ Телефон: _______________________</w:t>
      </w:r>
    </w:p>
    <w:p>
      <w:pPr>
        <w:pStyle w:val="Normal"/>
        <w:jc w:val="center"/>
        <w:rPr>
          <w:rFonts w:ascii="Arial" w:hAnsi="Arial" w:eastAsia="Times New Roman" w:cs="Arial"/>
          <w:b/>
          <w:color w:val="000000"/>
          <w:sz w:val="17"/>
          <w:szCs w:val="17"/>
        </w:rPr>
      </w:pPr>
      <w:r>
        <w:rPr>
          <w:rFonts w:eastAsia="Times New Roman" w:cs="Arial" w:ascii="Arial" w:hAnsi="Arial"/>
          <w:b/>
          <w:color w:val="000000"/>
          <w:sz w:val="17"/>
          <w:szCs w:val="17"/>
        </w:rPr>
        <w:t>2. Условия предоставления медицинских услуг</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2.1. Перечень медицинских услуг, оказываемых по договору, определяется путем проставления знака «</w:t>
      </w:r>
      <w:r>
        <w:rPr>
          <w:rFonts w:eastAsia="Times New Roman" w:cs="Arial" w:ascii="Arial" w:hAnsi="Arial"/>
          <w:color w:val="000000"/>
          <w:sz w:val="17"/>
          <w:szCs w:val="17"/>
          <w:lang w:val="en-US"/>
        </w:rPr>
        <w:t>V</w:t>
      </w:r>
      <w:r>
        <w:rPr>
          <w:rFonts w:eastAsia="Times New Roman" w:cs="Arial" w:ascii="Arial" w:hAnsi="Arial"/>
          <w:color w:val="000000"/>
          <w:sz w:val="17"/>
          <w:szCs w:val="17"/>
        </w:rPr>
        <w:t>» в графе «Выбор»:</w:t>
      </w:r>
    </w:p>
    <w:tbl>
      <w:tblPr>
        <w:tblW w:w="10490"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567"/>
        <w:gridCol w:w="2658"/>
        <w:gridCol w:w="3125"/>
        <w:gridCol w:w="1448"/>
        <w:gridCol w:w="1215"/>
        <w:gridCol w:w="761"/>
        <w:gridCol w:w="716"/>
      </w:tblGrid>
      <w:tr>
        <w:trPr>
          <w:trHeight w:val="426"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w:t>
            </w:r>
          </w:p>
        </w:tc>
        <w:tc>
          <w:tcPr>
            <w:tcW w:w="57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Наименование услуги</w:t>
            </w:r>
          </w:p>
        </w:tc>
        <w:tc>
          <w:tcPr>
            <w:tcW w:w="14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Код</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Цена за</w:t>
            </w:r>
          </w:p>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 ед. измерения</w:t>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Кол-во</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Выбор</w:t>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w:t>
            </w:r>
          </w:p>
        </w:tc>
        <w:tc>
          <w:tcPr>
            <w:tcW w:w="2658" w:type="dxa"/>
            <w:vMerge w:val="restart"/>
            <w:tcBorders>
              <w:top w:val="single" w:sz="4" w:space="0" w:color="000000"/>
              <w:left w:val="single" w:sz="4" w:space="0" w:color="000000"/>
              <w:bottom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Клинико-психологическое психодиагностическое обследование</w:t>
            </w:r>
          </w:p>
        </w:tc>
        <w:tc>
          <w:tcPr>
            <w:tcW w:w="3125"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стандартизированный набор тестов</w:t>
            </w:r>
          </w:p>
        </w:tc>
        <w:tc>
          <w:tcPr>
            <w:tcW w:w="144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А13.29.003.001</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1374,00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2</w:t>
            </w:r>
          </w:p>
        </w:tc>
        <w:tc>
          <w:tcPr>
            <w:tcW w:w="2658" w:type="dxa"/>
            <w:vMerge w:val="continue"/>
            <w:tcBorders>
              <w:top w:val="single" w:sz="4" w:space="0" w:color="000000"/>
              <w:left w:val="single" w:sz="4" w:space="0" w:color="000000"/>
              <w:bottom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r>
          </w:p>
        </w:tc>
        <w:tc>
          <w:tcPr>
            <w:tcW w:w="3125"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 xml:space="preserve"> </w:t>
            </w:r>
            <w:r>
              <w:rPr>
                <w:rFonts w:eastAsia="Times New Roman" w:cs="Arial" w:ascii="Arial" w:hAnsi="Arial"/>
                <w:color w:val="000000"/>
                <w:sz w:val="16"/>
                <w:szCs w:val="16"/>
              </w:rPr>
              <w:t>с использованием теста Шмишек</w:t>
            </w:r>
          </w:p>
        </w:tc>
        <w:tc>
          <w:tcPr>
            <w:tcW w:w="144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550,00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3</w:t>
            </w:r>
          </w:p>
        </w:tc>
        <w:tc>
          <w:tcPr>
            <w:tcW w:w="2658" w:type="dxa"/>
            <w:vMerge w:val="continue"/>
            <w:tcBorders>
              <w:top w:val="single" w:sz="4" w:space="0" w:color="000000"/>
              <w:left w:val="single" w:sz="4" w:space="0" w:color="000000"/>
              <w:bottom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r>
          </w:p>
        </w:tc>
        <w:tc>
          <w:tcPr>
            <w:tcW w:w="3125"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с использованием ПДО</w:t>
            </w:r>
          </w:p>
        </w:tc>
        <w:tc>
          <w:tcPr>
            <w:tcW w:w="144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550,00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4</w:t>
            </w:r>
          </w:p>
        </w:tc>
        <w:tc>
          <w:tcPr>
            <w:tcW w:w="2658" w:type="dxa"/>
            <w:vMerge w:val="continue"/>
            <w:tcBorders>
              <w:top w:val="single" w:sz="4" w:space="0" w:color="000000"/>
              <w:left w:val="single" w:sz="4" w:space="0" w:color="000000"/>
              <w:bottom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r>
          </w:p>
        </w:tc>
        <w:tc>
          <w:tcPr>
            <w:tcW w:w="3125"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 xml:space="preserve"> </w:t>
            </w:r>
            <w:r>
              <w:rPr>
                <w:rFonts w:eastAsia="Times New Roman" w:cs="Arial" w:ascii="Arial" w:hAnsi="Arial"/>
                <w:color w:val="000000"/>
                <w:sz w:val="16"/>
                <w:szCs w:val="16"/>
              </w:rPr>
              <w:t>с использованием Роттера</w:t>
            </w:r>
          </w:p>
        </w:tc>
        <w:tc>
          <w:tcPr>
            <w:tcW w:w="144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550,00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5</w:t>
            </w:r>
          </w:p>
        </w:tc>
        <w:tc>
          <w:tcPr>
            <w:tcW w:w="2658" w:type="dxa"/>
            <w:vMerge w:val="continue"/>
            <w:tcBorders>
              <w:top w:val="single" w:sz="4" w:space="0" w:color="000000"/>
              <w:left w:val="single" w:sz="4" w:space="0" w:color="000000"/>
              <w:bottom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r>
          </w:p>
        </w:tc>
        <w:tc>
          <w:tcPr>
            <w:tcW w:w="3125" w:type="dxa"/>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с использованием теста АСВ</w:t>
            </w:r>
          </w:p>
        </w:tc>
        <w:tc>
          <w:tcPr>
            <w:tcW w:w="144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550,00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6</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Индивидуальное клинико-психологическое консультирование</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А13.29.006.001</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1017,00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7</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Групповое клинико-психологическое консультирование</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А13.29.006.002</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742,00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8</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Семейное клинико-психологическое консультирование</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А13.29.006.003</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962,00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28"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9</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Индивидуальная клинико-психологическая коррекция</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А13.29.007.001</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1099,00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278"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10</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Групповая клинико-психологическая коррекция</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А13.29.007.002</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1512,00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277"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11</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Аутогенная тренировка</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А13.30.003</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1044,00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265"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12</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Прием (тестирование, консультация) медицинского психолога первичный</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В01.070.009</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825,00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r>
        <w:trPr>
          <w:trHeight w:val="34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13</w:t>
            </w:r>
          </w:p>
        </w:tc>
        <w:tc>
          <w:tcPr>
            <w:tcW w:w="5783"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eastAsia="Times New Roman" w:cs="Arial"/>
                <w:color w:val="000000"/>
                <w:sz w:val="16"/>
                <w:szCs w:val="16"/>
              </w:rPr>
            </w:pPr>
            <w:r>
              <w:rPr>
                <w:rFonts w:eastAsia="Times New Roman" w:cs="Arial" w:ascii="Arial" w:hAnsi="Arial"/>
                <w:color w:val="000000"/>
                <w:sz w:val="16"/>
                <w:szCs w:val="16"/>
              </w:rPr>
              <w:t>Прием (тестирование, консультация) медицинского психолога повторный</w:t>
            </w:r>
          </w:p>
        </w:tc>
        <w:tc>
          <w:tcPr>
            <w:tcW w:w="144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В01.070.010</w:t>
            </w:r>
          </w:p>
        </w:tc>
        <w:tc>
          <w:tcPr>
            <w:tcW w:w="121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t>495,00</w:t>
            </w:r>
          </w:p>
        </w:tc>
        <w:tc>
          <w:tcPr>
            <w:tcW w:w="761"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c>
          <w:tcPr>
            <w:tcW w:w="716"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eastAsia="Times New Roman" w:cs="Arial"/>
                <w:color w:val="000000"/>
                <w:sz w:val="16"/>
                <w:szCs w:val="16"/>
              </w:rPr>
            </w:pPr>
            <w:r>
              <w:rPr>
                <w:rFonts w:eastAsia="Times New Roman" w:cs="Arial" w:ascii="Arial" w:hAnsi="Arial"/>
                <w:color w:val="000000"/>
                <w:sz w:val="16"/>
                <w:szCs w:val="16"/>
              </w:rPr>
            </w:r>
          </w:p>
        </w:tc>
      </w:tr>
    </w:tbl>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2.2. Медицинские  услуги предоставляются  амбулаторно по адресам: г. Новокузнецк, ул. Куйбышева, 18, пр. Строителей, 52, пр. Строителей, 61, пр. Советской Армии, 53 </w:t>
      </w:r>
      <w:r>
        <w:rPr>
          <w:rFonts w:eastAsia="Times New Roman" w:cs="Arial" w:ascii="Arial" w:hAnsi="Arial"/>
          <w:b/>
          <w:i/>
          <w:color w:val="000000"/>
          <w:sz w:val="15"/>
          <w:szCs w:val="15"/>
        </w:rPr>
        <w:t>(нужное подчеркнуть)</w:t>
      </w:r>
      <w:r>
        <w:rPr>
          <w:rFonts w:eastAsia="Times New Roman" w:cs="Arial" w:ascii="Arial" w:hAnsi="Arial"/>
          <w:color w:val="000000"/>
          <w:sz w:val="17"/>
          <w:szCs w:val="17"/>
        </w:rPr>
        <w:t xml:space="preserve">. </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2.3. Срок предоставления медицинских услуг: _______________________________________________________________________</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2.4. При оказании медицинских услуг Исполнитель применяет порядки оказания медицинской помощи, клинические рекомендации и стандарты медицинской помощи, информация о которых предоставляется Потребителю (Заказчику) в доступной форме.</w:t>
      </w:r>
    </w:p>
    <w:p>
      <w:pPr>
        <w:pStyle w:val="Normal"/>
        <w:jc w:val="both"/>
        <w:rPr>
          <w:rFonts w:ascii="Arial" w:hAnsi="Arial" w:eastAsia="Times New Roman" w:cs="Arial"/>
          <w:b/>
          <w:bCs/>
          <w:color w:val="000000"/>
          <w:sz w:val="17"/>
          <w:szCs w:val="17"/>
        </w:rPr>
      </w:pPr>
      <w:r>
        <w:rPr>
          <w:rFonts w:eastAsia="Times New Roman" w:cs="Arial" w:ascii="Arial" w:hAnsi="Arial"/>
          <w:color w:val="000000"/>
          <w:sz w:val="17"/>
          <w:szCs w:val="17"/>
        </w:rPr>
        <w:t xml:space="preserve">2.5. </w:t>
      </w:r>
      <w:r>
        <w:rPr>
          <w:rFonts w:eastAsia="Times New Roman" w:cs="Arial" w:ascii="Arial" w:hAnsi="Arial"/>
          <w:b w:val="false"/>
          <w:bCs w:val="false"/>
          <w:color w:val="000000"/>
          <w:sz w:val="17"/>
          <w:szCs w:val="17"/>
        </w:rPr>
        <w:t>Медицинские услуги могут оказываться в полном объёме стандарта медицинской помощи либо по просьбе Потребителя (Заказчика) в виде осуществления отдельных консультаций или медицинских вмешательств, а также в объёме, превышающем объём выполняемого стандарта медицинской помощи. Такая просьба оформляется в виде письменного согласия Заказчика (если Заказчик является Потребителем) или письменного согласия Потребителя и Заказчика.</w:t>
      </w:r>
    </w:p>
    <w:p>
      <w:pPr>
        <w:pStyle w:val="Normal"/>
        <w:jc w:val="center"/>
        <w:rPr>
          <w:rFonts w:ascii="Arial" w:hAnsi="Arial" w:eastAsia="Times New Roman" w:cs="Arial"/>
          <w:color w:val="000000"/>
          <w:sz w:val="17"/>
          <w:szCs w:val="17"/>
        </w:rPr>
      </w:pPr>
      <w:r>
        <w:rPr>
          <w:rFonts w:eastAsia="Times New Roman" w:cs="Arial" w:ascii="Arial" w:hAnsi="Arial"/>
          <w:b/>
          <w:bCs/>
          <w:color w:val="000000"/>
          <w:sz w:val="17"/>
          <w:szCs w:val="17"/>
        </w:rPr>
        <w:t>3. Права и обязанности Сторон</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3.1. </w:t>
      </w:r>
      <w:r>
        <w:rPr>
          <w:rFonts w:eastAsia="Times New Roman" w:cs="Arial" w:ascii="Arial" w:hAnsi="Arial"/>
          <w:b/>
          <w:bCs/>
          <w:color w:val="000000"/>
          <w:sz w:val="17"/>
          <w:szCs w:val="17"/>
        </w:rPr>
        <w:t>Исполнитель обязан:</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обеспечить соблюдение порядков оказания медицинской помощи, клинических рекомендаций, а также стандартов медицинской помощи, в случае если медицинская помощь предоставлялась в объёме стандартов;</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 обеспечить соответствие оказываемой медицинской помощи критериям оценки качества медицинской помощи, утвержденным уполномоченным федеральным органом исполнительной власти; </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выдать Потребителю (законному представителю Потребителя) после исполнения договора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в соответствии с нормативно-правовыми актами, утвержденным уполномоченным федеральным органом исполнительной власти, без взимания дополнительной платы;</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по заявлению Заказчика и (или) Потребителя (при наличии согласия Потребителя или его законного представителя) выдать документы, подтверждающие фактические расходы на оказанные медицинские услуги, для целей предоставления социального налогового вычета: копию договора, справку об оплате медицинских услуг по форме, утверждённой уполномоченным органом, а также рецептурный бланк или выписку из медицинской документации (при назначении лекарственных препаратов).</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3.2. </w:t>
      </w:r>
      <w:r>
        <w:rPr>
          <w:rFonts w:eastAsia="Times New Roman" w:cs="Arial" w:ascii="Arial" w:hAnsi="Arial"/>
          <w:b/>
          <w:bCs/>
          <w:color w:val="000000"/>
          <w:sz w:val="17"/>
          <w:szCs w:val="17"/>
        </w:rPr>
        <w:t>Исполнитель имеет право:</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определять объем обследований и исследований, необходимых для оказания медицинских услуг, в рамках законодательства РФ в области оказания наркологической помощи.</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3.3. </w:t>
      </w:r>
      <w:r>
        <w:rPr>
          <w:rFonts w:eastAsia="Times New Roman" w:cs="Arial" w:ascii="Arial" w:hAnsi="Arial"/>
          <w:b/>
          <w:bCs/>
          <w:color w:val="000000"/>
          <w:sz w:val="17"/>
          <w:szCs w:val="17"/>
        </w:rPr>
        <w:t>Потребитель (Заказчик) обязан:</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оплатить медицинские услуги.</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3.4. </w:t>
      </w:r>
      <w:r>
        <w:rPr>
          <w:rFonts w:eastAsia="Times New Roman" w:cs="Arial" w:ascii="Arial" w:hAnsi="Arial"/>
          <w:b/>
          <w:bCs/>
          <w:color w:val="000000"/>
          <w:sz w:val="17"/>
          <w:szCs w:val="17"/>
        </w:rPr>
        <w:t>Потребитель имеет право:</w:t>
      </w:r>
    </w:p>
    <w:p>
      <w:pPr>
        <w:pStyle w:val="Normal"/>
        <w:jc w:val="both"/>
        <w:rPr>
          <w:rFonts w:ascii="Arial" w:hAnsi="Arial" w:eastAsia="Times New Roman" w:cs="Arial"/>
          <w:bCs/>
          <w:color w:val="000000"/>
          <w:sz w:val="17"/>
          <w:szCs w:val="17"/>
        </w:rPr>
      </w:pPr>
      <w:r>
        <w:rPr>
          <w:rFonts w:eastAsia="Times New Roman" w:cs="Arial" w:ascii="Arial" w:hAnsi="Arial"/>
          <w:bCs/>
          <w:color w:val="000000"/>
          <w:sz w:val="17"/>
          <w:szCs w:val="17"/>
        </w:rPr>
        <w:t xml:space="preserve">-  получать по запросу информацию о состоянии здоровья, об используемых при предоставлении услуг лекарственных препаратах и медицинских изделиях. </w:t>
      </w:r>
    </w:p>
    <w:p>
      <w:pPr>
        <w:pStyle w:val="Normal"/>
        <w:jc w:val="center"/>
        <w:rPr>
          <w:rFonts w:ascii="Arial" w:hAnsi="Arial" w:eastAsia="Times New Roman" w:cs="Arial"/>
          <w:b/>
          <w:bCs/>
          <w:color w:val="000000"/>
          <w:sz w:val="17"/>
          <w:szCs w:val="17"/>
        </w:rPr>
      </w:pPr>
      <w:r>
        <w:rPr>
          <w:rStyle w:val="Strong"/>
          <w:rFonts w:eastAsia="Times New Roman" w:cs="Arial" w:ascii="Arial" w:hAnsi="Arial"/>
          <w:color w:val="000000"/>
          <w:sz w:val="17"/>
          <w:szCs w:val="17"/>
        </w:rPr>
        <w:t>4. Стоимость и порядок оплаты услуг</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4.1. Стоимость медицинских услуг определяется согласно Прейскуранту цен платных медицинских услуг (далее – Прейскурант) Исполнителя, действующему на момент оказания медицинских услуг, и количеству необходимых услуг на основании п. 2.1. договора.</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4.2. Оплата медицинских услуг производится Потребителем (Заказчиком) в размере 100% стоимости медицинских услуг </w:t>
      </w:r>
      <w:bookmarkStart w:id="0" w:name="_Hlk144324907"/>
      <w:r>
        <w:rPr>
          <w:rFonts w:eastAsia="Times New Roman" w:cs="Arial" w:ascii="Arial" w:hAnsi="Arial"/>
          <w:color w:val="000000"/>
          <w:sz w:val="17"/>
          <w:szCs w:val="17"/>
        </w:rPr>
        <w:t>до момента оказания услуг</w:t>
      </w:r>
      <w:bookmarkEnd w:id="0"/>
      <w:r>
        <w:rPr>
          <w:rFonts w:eastAsia="Times New Roman" w:cs="Arial" w:ascii="Arial" w:hAnsi="Arial"/>
          <w:color w:val="000000"/>
          <w:sz w:val="17"/>
          <w:szCs w:val="17"/>
        </w:rPr>
        <w:t xml:space="preserve"> путем внесения наличных денежных средств в кассу Исполнителя или путем использования национальных платежных инструментов.</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4.3. Потребителю (Заказчику) после оплаты выдаётся документ, подтверждающий факт осуществления расчёта (кассовый чек или бланк строгой отчётности, а в случаях, предусмотренных законодательством, – иной подтверждающий документ).</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4.4. В случае если при предоставлении медицинских услуг выявится необходимость оказания дополнительных платных услуг, не предусмотренных Договором, Исполнитель обязан предупредить об этом Потребителя (Заказчика). Без согласия Потребителя (Заказчика) такие услуги не оказываются. При достижении согласия Стороны подписывают дополнительное соглашение.</w:t>
      </w:r>
    </w:p>
    <w:p>
      <w:pPr>
        <w:pStyle w:val="Normal"/>
        <w:jc w:val="center"/>
        <w:rPr>
          <w:rFonts w:ascii="Arial" w:hAnsi="Arial" w:eastAsia="Times New Roman" w:cs="Arial"/>
          <w:color w:val="000000"/>
          <w:sz w:val="17"/>
          <w:szCs w:val="17"/>
        </w:rPr>
      </w:pPr>
      <w:r>
        <w:rPr>
          <w:rStyle w:val="Strong"/>
          <w:rFonts w:eastAsia="Times New Roman" w:cs="Arial" w:ascii="Arial" w:hAnsi="Arial"/>
          <w:color w:val="000000"/>
          <w:sz w:val="17"/>
          <w:szCs w:val="17"/>
        </w:rPr>
        <w:t>5. Ответственность сторон</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5.1. За неисполнение или ненадлежащее исполнение обязательств по Договору, Стороны несут ответственность в порядке, предусмотренном действующим законодательством РФ.</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5.2. Вред, причиненный жизни или здоровью Потребителя в результате оказания  медицинских услуг ненадлежащего качества, подлежит возмещению Исполнителем в соответствии с законодательством Российской Федерации.</w:t>
      </w:r>
    </w:p>
    <w:p>
      <w:pPr>
        <w:pStyle w:val="Normal"/>
        <w:jc w:val="center"/>
        <w:rPr>
          <w:rFonts w:ascii="Arial" w:hAnsi="Arial" w:eastAsia="Times New Roman" w:cs="Arial"/>
          <w:color w:val="000000"/>
          <w:sz w:val="17"/>
          <w:szCs w:val="17"/>
        </w:rPr>
      </w:pPr>
      <w:r>
        <w:rPr>
          <w:rFonts w:eastAsia="Times New Roman" w:cs="Arial" w:ascii="Arial" w:hAnsi="Arial"/>
          <w:b/>
          <w:bCs/>
          <w:color w:val="000000"/>
          <w:sz w:val="17"/>
          <w:szCs w:val="17"/>
        </w:rPr>
        <w:t>6. Порядок изменения и расторжения Договора</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6.1. Договор может быть изменен или расторгнут по взаимному согласию Сторон путем подписания письменного соглашения.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6.2. Договор расторгается в случае отказа Потребителя после заключения договора от получения медицинских услуг,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xml:space="preserve">6.2.1. Отказ Потребителя от получения медицинских услуг по Договору оформляется в письменной форме и направляется Исполнителю. Исполнитель информирует Потребителя (Заказчика) о расторжении Договора по инициативе Потребителя и возвращает уплаченные Потребителем денежные средства, удерживая фактически понесенные Исполнителем расходы, связанные с исполнением обязательств по договору, в течение 10 дней с момента получения отказа Потребителя. </w:t>
      </w:r>
    </w:p>
    <w:p>
      <w:pPr>
        <w:pStyle w:val="Normal"/>
        <w:jc w:val="center"/>
        <w:rPr>
          <w:rFonts w:ascii="Arial" w:hAnsi="Arial" w:eastAsia="Times New Roman" w:cs="Arial"/>
          <w:color w:val="000000"/>
          <w:sz w:val="17"/>
          <w:szCs w:val="17"/>
        </w:rPr>
      </w:pPr>
      <w:r>
        <w:rPr>
          <w:rFonts w:eastAsia="Times New Roman" w:cs="Arial" w:ascii="Arial" w:hAnsi="Arial"/>
          <w:b/>
          <w:bCs/>
          <w:color w:val="000000"/>
          <w:sz w:val="17"/>
          <w:szCs w:val="17"/>
        </w:rPr>
        <w:t>7. Заключительные положения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7.1. Договор заключён в 2-х экземплярах, имеющих одинаковую юридическую силу, по одному экземпляру для каждой Стороны. В случае если Договор заключается между Исполнителем и Заказчиком в пользу Потребителя, то Договор заключается в 3-х экземплярах, один из которых находится у Исполнителя, второй – у Заказчика, третий – у Потребителя.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7.2. Договор вступает в силу с момента подписания его сторонами и действует до полного исполнения сторонами своих обязательств.</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7.3. Подписывая Договор, Потребитель (Заказчик) подтверждает, что:</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а) осознает и понимает предоставленную ему в полном объеме и в доступной форме информацию:</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Отказ от заключения настоящего Договора и (или) от предлагаемых платных медицинских услуг не может быть причиной уменьшения видов и объёмов медицинской помощи, оказываемой Потребителю бесплатно.</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возможности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медицинских работниках, отвечающих за предоставление соответствующей медицинской услуги (профессиональное образование и квалификация, график работы). Информация размещена на информационных стендах (стойках) Исполнителя, а также на сайте Исполнителя https://nardis.su в сети «Интернет»;</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б) ознакомлен с Порядком оказания медицинской помощи по профилю «психиатрия-наркология» (утв. Приказом Минздрава России от 13.11.2025 № 666н), клиническими рекомендациями, стандартами медицинской помощи, применяемыми при предоставлении медицинских услуг;</w:t>
      </w:r>
    </w:p>
    <w:p>
      <w:pPr>
        <w:pStyle w:val="Normal"/>
        <w:jc w:val="both"/>
        <w:rPr>
          <w:rFonts w:ascii="Arial" w:hAnsi="Arial" w:eastAsia="Times New Roman" w:cs="Arial"/>
          <w:color w:val="000000"/>
          <w:sz w:val="17"/>
          <w:szCs w:val="17"/>
        </w:rPr>
      </w:pPr>
      <w:r>
        <w:rPr>
          <w:rFonts w:eastAsia="Times New Roman" w:cs="Arial" w:ascii="Arial" w:hAnsi="Arial"/>
          <w:color w:val="000000"/>
          <w:sz w:val="17"/>
          <w:szCs w:val="17"/>
        </w:rPr>
        <w:t>в) добровольно согласился на получение медицинских услуг на платной основе, оказываемых Исполнителем в соответствии с подпунктом «г» пункта 8 Правил предоставления медицинскими организациями платных медицинских услуг (при самостоятельном обращении).</w:t>
      </w:r>
    </w:p>
    <w:p>
      <w:pPr>
        <w:pStyle w:val="Normal"/>
        <w:jc w:val="center"/>
        <w:rPr>
          <w:rFonts w:ascii="Arial" w:hAnsi="Arial" w:eastAsia="Times New Roman" w:cs="Arial"/>
          <w:b/>
          <w:bCs/>
          <w:color w:val="000000"/>
          <w:sz w:val="17"/>
          <w:szCs w:val="17"/>
        </w:rPr>
      </w:pPr>
      <w:r>
        <w:rPr>
          <w:rFonts w:eastAsia="Times New Roman" w:cs="Arial" w:ascii="Arial" w:hAnsi="Arial"/>
          <w:b/>
          <w:bCs/>
          <w:color w:val="000000"/>
          <w:sz w:val="17"/>
          <w:szCs w:val="17"/>
        </w:rPr>
        <w:t>8. Реквизиты и подписи Сторон</w:t>
      </w:r>
    </w:p>
    <w:tbl>
      <w:tblPr>
        <w:tblW w:w="10661" w:type="dxa"/>
        <w:jc w:val="center"/>
        <w:tblInd w:w="0" w:type="dxa"/>
        <w:tblLayout w:type="fixed"/>
        <w:tblCellMar>
          <w:top w:w="0" w:type="dxa"/>
          <w:left w:w="108" w:type="dxa"/>
          <w:bottom w:w="0" w:type="dxa"/>
          <w:right w:w="108" w:type="dxa"/>
        </w:tblCellMar>
      </w:tblPr>
      <w:tblGrid>
        <w:gridCol w:w="2012"/>
        <w:gridCol w:w="2641"/>
        <w:gridCol w:w="2713"/>
        <w:gridCol w:w="429"/>
        <w:gridCol w:w="2866"/>
      </w:tblGrid>
      <w:tr>
        <w:trPr/>
        <w:tc>
          <w:tcPr>
            <w:tcW w:w="2012" w:type="dxa"/>
            <w:tcBorders/>
          </w:tcPr>
          <w:p>
            <w:pPr>
              <w:pStyle w:val="Normal"/>
              <w:tabs>
                <w:tab w:val="clear" w:pos="708"/>
              </w:tabs>
              <w:jc w:val="center"/>
              <w:rPr/>
            </w:pPr>
            <w:r>
              <w:rPr>
                <w:rFonts w:eastAsia="Times New Roman" w:cs="Arial" w:ascii="Arial" w:hAnsi="Arial"/>
                <w:b/>
                <w:bCs/>
                <w:sz w:val="17"/>
                <w:szCs w:val="17"/>
              </w:rPr>
              <w:t>Исполнитель:</w:t>
            </w:r>
          </w:p>
        </w:tc>
        <w:tc>
          <w:tcPr>
            <w:tcW w:w="2641" w:type="dxa"/>
            <w:tcBorders/>
          </w:tcPr>
          <w:p>
            <w:pPr>
              <w:pStyle w:val="Normal"/>
              <w:tabs>
                <w:tab w:val="clear" w:pos="708"/>
              </w:tabs>
              <w:jc w:val="center"/>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713" w:type="dxa"/>
            <w:tcBorders/>
          </w:tcPr>
          <w:p>
            <w:pPr>
              <w:pStyle w:val="Normal"/>
              <w:tabs>
                <w:tab w:val="clear" w:pos="708"/>
              </w:tabs>
              <w:jc w:val="center"/>
              <w:rPr/>
            </w:pPr>
            <w:r>
              <w:rPr>
                <w:rFonts w:eastAsia="Times New Roman" w:cs="Arial" w:ascii="Arial" w:hAnsi="Arial"/>
                <w:b/>
                <w:bCs/>
                <w:color w:val="000000"/>
                <w:sz w:val="17"/>
                <w:szCs w:val="17"/>
              </w:rPr>
              <w:t>Заказчик:</w:t>
            </w:r>
          </w:p>
          <w:p>
            <w:pPr>
              <w:pStyle w:val="Normal"/>
              <w:tabs>
                <w:tab w:val="clear" w:pos="708"/>
              </w:tabs>
              <w:jc w:val="center"/>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jc w:val="center"/>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cPr>
          <w:p>
            <w:pPr>
              <w:pStyle w:val="Normal"/>
              <w:tabs>
                <w:tab w:val="clear" w:pos="708"/>
              </w:tabs>
              <w:jc w:val="center"/>
              <w:rPr/>
            </w:pPr>
            <w:r>
              <w:rPr>
                <w:rFonts w:eastAsia="Times New Roman" w:cs="Arial" w:ascii="Arial" w:hAnsi="Arial"/>
                <w:b/>
                <w:bCs/>
                <w:color w:val="000000"/>
                <w:sz w:val="17"/>
                <w:szCs w:val="17"/>
              </w:rPr>
              <w:t>Потребитель/законный представитель Потребителя:</w:t>
            </w:r>
          </w:p>
        </w:tc>
      </w:tr>
      <w:tr>
        <w:trPr/>
        <w:tc>
          <w:tcPr>
            <w:tcW w:w="2012" w:type="dxa"/>
            <w:vMerge w:val="restart"/>
            <w:tcBorders/>
          </w:tcPr>
          <w:p>
            <w:pPr>
              <w:pStyle w:val="Normal"/>
              <w:tabs>
                <w:tab w:val="clear" w:pos="708"/>
              </w:tabs>
              <w:rPr/>
            </w:pPr>
            <w:r>
              <w:rPr>
                <w:rFonts w:eastAsia="Times New Roman" w:cs="Arial" w:ascii="Arial" w:hAnsi="Arial"/>
                <w:sz w:val="17"/>
                <w:szCs w:val="17"/>
              </w:rPr>
              <w:t>ГБУЗ  ННД, 654005,</w:t>
            </w:r>
          </w:p>
          <w:p>
            <w:pPr>
              <w:pStyle w:val="Normal"/>
              <w:tabs>
                <w:tab w:val="clear" w:pos="708"/>
              </w:tabs>
              <w:rPr/>
            </w:pPr>
            <w:r>
              <w:rPr>
                <w:rFonts w:eastAsia="Times New Roman" w:cs="Arial" w:ascii="Arial" w:hAnsi="Arial"/>
                <w:sz w:val="17"/>
                <w:szCs w:val="17"/>
              </w:rPr>
              <w:t>г. Новокузнецк,</w:t>
            </w:r>
          </w:p>
          <w:p>
            <w:pPr>
              <w:pStyle w:val="Normal"/>
              <w:tabs>
                <w:tab w:val="clear" w:pos="708"/>
              </w:tabs>
              <w:rPr/>
            </w:pPr>
            <w:r>
              <w:rPr>
                <w:rFonts w:eastAsia="Times New Roman" w:cs="Arial" w:ascii="Arial" w:hAnsi="Arial"/>
                <w:sz w:val="17"/>
                <w:szCs w:val="17"/>
              </w:rPr>
              <w:t>пр. Строителей, 61,</w:t>
            </w:r>
          </w:p>
          <w:p>
            <w:pPr>
              <w:pStyle w:val="Normal"/>
              <w:tabs>
                <w:tab w:val="clear" w:pos="708"/>
              </w:tabs>
              <w:rPr/>
            </w:pPr>
            <w:r>
              <w:rPr>
                <w:rFonts w:eastAsia="Times New Roman" w:cs="Arial" w:ascii="Arial" w:hAnsi="Arial"/>
                <w:sz w:val="17"/>
                <w:szCs w:val="17"/>
              </w:rPr>
              <w:t>ОГРН 1024201475000,</w:t>
            </w:r>
          </w:p>
          <w:p>
            <w:pPr>
              <w:pStyle w:val="Normal"/>
              <w:tabs>
                <w:tab w:val="clear" w:pos="708"/>
              </w:tabs>
              <w:rPr/>
            </w:pPr>
            <w:r>
              <w:rPr>
                <w:rFonts w:eastAsia="Times New Roman" w:cs="Arial" w:ascii="Arial" w:hAnsi="Arial"/>
                <w:sz w:val="17"/>
                <w:szCs w:val="17"/>
              </w:rPr>
              <w:t>ИНН 4217013595</w:t>
            </w:r>
          </w:p>
          <w:p>
            <w:pPr>
              <w:pStyle w:val="Normal"/>
              <w:tabs>
                <w:tab w:val="clear" w:pos="708"/>
              </w:tabs>
              <w:rPr/>
            </w:pPr>
            <w:r>
              <w:rPr>
                <w:rFonts w:eastAsia="Times New Roman" w:cs="Arial" w:ascii="Arial" w:hAnsi="Arial"/>
                <w:sz w:val="17"/>
                <w:szCs w:val="17"/>
              </w:rPr>
              <w:t>И.о. главного врача Георгиевская О.В.</w:t>
            </w:r>
          </w:p>
        </w:tc>
        <w:tc>
          <w:tcPr>
            <w:tcW w:w="2641" w:type="dxa"/>
            <w:tcBorders/>
          </w:tcPr>
          <w:p>
            <w:pPr>
              <w:pStyle w:val="Normal"/>
              <w:tabs>
                <w:tab w:val="clear" w:pos="708"/>
              </w:tabs>
              <w:jc w:val="right"/>
              <w:rPr/>
            </w:pPr>
            <w:r>
              <w:rPr>
                <w:rFonts w:eastAsia="Times New Roman" w:cs="Arial" w:ascii="Arial" w:hAnsi="Arial"/>
                <w:bCs/>
                <w:color w:val="000000"/>
                <w:sz w:val="17"/>
                <w:szCs w:val="17"/>
              </w:rPr>
              <w:t>Фамилия:</w:t>
            </w:r>
          </w:p>
        </w:tc>
        <w:tc>
          <w:tcPr>
            <w:tcW w:w="2713" w:type="dxa"/>
            <w:tcBorders>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12" w:type="dxa"/>
            <w:vMerge w:val="continue"/>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tcPr>
          <w:p>
            <w:pPr>
              <w:pStyle w:val="Normal"/>
              <w:tabs>
                <w:tab w:val="clear" w:pos="708"/>
              </w:tabs>
              <w:jc w:val="right"/>
              <w:rPr/>
            </w:pPr>
            <w:r>
              <w:rPr>
                <w:rFonts w:eastAsia="Times New Roman" w:cs="Arial" w:ascii="Arial" w:hAnsi="Arial"/>
                <w:bCs/>
                <w:color w:val="000000"/>
                <w:sz w:val="17"/>
                <w:szCs w:val="17"/>
              </w:rPr>
              <w:t>Имя:</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12" w:type="dxa"/>
            <w:vMerge w:val="continue"/>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tcPr>
          <w:p>
            <w:pPr>
              <w:pStyle w:val="Normal"/>
              <w:tabs>
                <w:tab w:val="clear" w:pos="708"/>
              </w:tabs>
              <w:jc w:val="right"/>
              <w:rPr/>
            </w:pPr>
            <w:r>
              <w:rPr>
                <w:rFonts w:eastAsia="Times New Roman" w:cs="Arial" w:ascii="Arial" w:hAnsi="Arial"/>
                <w:bCs/>
                <w:color w:val="000000"/>
                <w:sz w:val="17"/>
                <w:szCs w:val="17"/>
              </w:rPr>
              <w:t>Отчество (при наличии):</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12" w:type="dxa"/>
            <w:vMerge w:val="continue"/>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tcPr>
          <w:p>
            <w:pPr>
              <w:pStyle w:val="Normal"/>
              <w:tabs>
                <w:tab w:val="clear" w:pos="708"/>
              </w:tabs>
              <w:jc w:val="right"/>
              <w:rPr/>
            </w:pPr>
            <w:r>
              <w:rPr>
                <w:rFonts w:eastAsia="Times New Roman" w:cs="Arial" w:ascii="Arial" w:hAnsi="Arial"/>
                <w:bCs/>
                <w:color w:val="000000"/>
                <w:sz w:val="17"/>
                <w:szCs w:val="17"/>
              </w:rPr>
              <w:t>Адрес места жительства:</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12" w:type="dxa"/>
            <w:vMerge w:val="continue"/>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tcPr>
          <w:p>
            <w:pPr>
              <w:pStyle w:val="Normal"/>
              <w:tabs>
                <w:tab w:val="clear" w:pos="708"/>
              </w:tabs>
              <w:jc w:val="right"/>
              <w:rPr/>
            </w:pPr>
            <w:r>
              <w:rPr>
                <w:rFonts w:eastAsia="Times New Roman" w:cs="Arial" w:ascii="Arial" w:hAnsi="Arial"/>
                <w:sz w:val="17"/>
                <w:szCs w:val="17"/>
              </w:rPr>
              <w:t>Иные адреса (при наличии):</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12" w:type="dxa"/>
            <w:vMerge w:val="continue"/>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tcPr>
          <w:p>
            <w:pPr>
              <w:pStyle w:val="Normal"/>
              <w:tabs>
                <w:tab w:val="clear" w:pos="708"/>
              </w:tabs>
              <w:jc w:val="right"/>
              <w:rPr/>
            </w:pPr>
            <w:r>
              <w:rPr>
                <w:rFonts w:eastAsia="Times New Roman" w:cs="Arial" w:ascii="Arial" w:hAnsi="Arial"/>
                <w:sz w:val="17"/>
                <w:szCs w:val="17"/>
              </w:rPr>
              <w:t>Паспорт:</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12" w:type="dxa"/>
            <w:vMerge w:val="continue"/>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tcPr>
          <w:p>
            <w:pPr>
              <w:pStyle w:val="Normal"/>
              <w:tabs>
                <w:tab w:val="clear" w:pos="708"/>
              </w:tabs>
              <w:jc w:val="right"/>
              <w:rPr/>
            </w:pPr>
            <w:r>
              <w:rPr>
                <w:rFonts w:eastAsia="Times New Roman" w:cs="Arial" w:ascii="Arial" w:hAnsi="Arial"/>
                <w:bCs/>
                <w:color w:val="000000"/>
                <w:sz w:val="17"/>
                <w:szCs w:val="17"/>
              </w:rPr>
              <w:t>Телефон:</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326" w:hRule="atLeast"/>
        </w:trPr>
        <w:tc>
          <w:tcPr>
            <w:tcW w:w="2012" w:type="dxa"/>
            <w:tcBorders>
              <w:bottom w:val="single" w:sz="4" w:space="0" w:color="000000"/>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r>
          </w:p>
        </w:tc>
        <w:tc>
          <w:tcPr>
            <w:tcW w:w="2641" w:type="dxa"/>
            <w:tcBorders/>
            <w:vAlign w:val="bottom"/>
          </w:tcPr>
          <w:p>
            <w:pPr>
              <w:pStyle w:val="Normal"/>
              <w:tabs>
                <w:tab w:val="clear" w:pos="708"/>
              </w:tabs>
              <w:jc w:val="right"/>
              <w:rPr/>
            </w:pPr>
            <w:r>
              <w:rPr>
                <w:rFonts w:eastAsia="Times New Roman" w:cs="Arial" w:ascii="Arial" w:hAnsi="Arial"/>
                <w:bCs/>
                <w:color w:val="000000"/>
                <w:sz w:val="17"/>
                <w:szCs w:val="17"/>
              </w:rPr>
              <w:t>Подпись:</w:t>
            </w:r>
          </w:p>
        </w:tc>
        <w:tc>
          <w:tcPr>
            <w:tcW w:w="2713"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single" w:sz="4" w:space="0" w:color="000000"/>
              <w:bottom w:val="single" w:sz="4" w:space="0" w:color="000000"/>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1063" w:hRule="atLeast"/>
        </w:trPr>
        <w:tc>
          <w:tcPr>
            <w:tcW w:w="2012" w:type="dxa"/>
            <w:tcBorders/>
          </w:tcPr>
          <w:p>
            <w:pPr>
              <w:pStyle w:val="Normal"/>
              <w:tabs>
                <w:tab w:val="clear" w:pos="708"/>
              </w:tabs>
              <w:rPr>
                <w:rFonts w:ascii="Arial" w:hAnsi="Arial" w:eastAsia="Times New Roman" w:cs="Arial"/>
                <w:sz w:val="17"/>
                <w:szCs w:val="17"/>
              </w:rPr>
            </w:pPr>
            <w:r>
              <w:rPr>
                <w:rFonts w:eastAsia="Times New Roman" w:cs="Arial" w:ascii="Arial" w:hAnsi="Arial"/>
                <w:sz w:val="17"/>
                <w:szCs w:val="17"/>
              </w:rPr>
              <w:t>МП</w:t>
            </w:r>
          </w:p>
          <w:p>
            <w:pPr>
              <w:pStyle w:val="Normal"/>
              <w:tabs>
                <w:tab w:val="clear" w:pos="708"/>
              </w:tabs>
              <w:rPr>
                <w:rFonts w:ascii="Arial" w:hAnsi="Arial" w:eastAsia="Times New Roman" w:cs="Arial"/>
                <w:sz w:val="17"/>
                <w:szCs w:val="17"/>
              </w:rPr>
            </w:pPr>
            <w:r>
              <w:rPr>
                <w:rFonts w:eastAsia="Times New Roman" w:cs="Arial" w:ascii="Arial" w:hAnsi="Arial"/>
                <w:sz w:val="17"/>
                <w:szCs w:val="17"/>
              </w:rPr>
            </w:r>
          </w:p>
          <w:p>
            <w:pPr>
              <w:pStyle w:val="Normal"/>
              <w:tabs>
                <w:tab w:val="clear" w:pos="708"/>
              </w:tabs>
              <w:rPr>
                <w:rFonts w:ascii="Arial" w:hAnsi="Arial" w:eastAsia="Times New Roman" w:cs="Arial"/>
                <w:sz w:val="17"/>
                <w:szCs w:val="17"/>
              </w:rPr>
            </w:pPr>
            <w:r>
              <w:rPr>
                <w:rFonts w:eastAsia="Times New Roman" w:cs="Arial" w:ascii="Arial" w:hAnsi="Arial"/>
                <w:sz w:val="17"/>
                <w:szCs w:val="17"/>
              </w:rPr>
            </w:r>
          </w:p>
          <w:p>
            <w:pPr>
              <w:pStyle w:val="Normal"/>
              <w:tabs>
                <w:tab w:val="clear" w:pos="708"/>
              </w:tabs>
              <w:jc w:val="left"/>
              <w:rPr>
                <w:rFonts w:ascii="Arial" w:hAnsi="Arial" w:eastAsia="Times New Roman" w:cs="Arial"/>
                <w:sz w:val="17"/>
                <w:szCs w:val="17"/>
              </w:rPr>
            </w:pPr>
            <w:r>
              <w:rPr/>
            </w:r>
          </w:p>
          <w:p>
            <w:pPr>
              <w:pStyle w:val="Normal"/>
              <w:tabs>
                <w:tab w:val="clear" w:pos="708"/>
              </w:tabs>
              <w:jc w:val="left"/>
              <w:rPr>
                <w:rFonts w:ascii="Arial" w:hAnsi="Arial" w:eastAsia="Times New Roman" w:cs="Arial"/>
                <w:sz w:val="17"/>
                <w:szCs w:val="17"/>
              </w:rPr>
            </w:pPr>
            <w:r>
              <w:rPr/>
            </w:r>
          </w:p>
        </w:tc>
        <w:tc>
          <w:tcPr>
            <w:tcW w:w="2641" w:type="dxa"/>
            <w:tcBorders/>
          </w:tcPr>
          <w:p>
            <w:pPr>
              <w:pStyle w:val="Normal"/>
              <w:tabs>
                <w:tab w:val="clear" w:pos="708"/>
              </w:tabs>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Наименование ЮЛ:</w:t>
            </w:r>
          </w:p>
          <w:p>
            <w:pPr>
              <w:pStyle w:val="Normal"/>
              <w:tabs>
                <w:tab w:val="clear" w:pos="708"/>
              </w:tabs>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Юридический адрес:</w:t>
            </w:r>
          </w:p>
          <w:p>
            <w:pPr>
              <w:pStyle w:val="Normal"/>
              <w:tabs>
                <w:tab w:val="clear" w:pos="708"/>
              </w:tabs>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ОГРН:</w:t>
            </w:r>
          </w:p>
          <w:p>
            <w:pPr>
              <w:pStyle w:val="Normal"/>
              <w:tabs>
                <w:tab w:val="clear" w:pos="708"/>
              </w:tabs>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Должность и Ф.И.О. подписанта:</w:t>
            </w:r>
          </w:p>
          <w:p>
            <w:pPr>
              <w:pStyle w:val="Normal"/>
              <w:tabs>
                <w:tab w:val="clear" w:pos="708"/>
              </w:tabs>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МП</w:t>
            </w:r>
          </w:p>
        </w:tc>
        <w:tc>
          <w:tcPr>
            <w:tcW w:w="2713"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p>
            <w:pPr>
              <w:pStyle w:val="Normal"/>
              <w:tabs>
                <w:tab w:val="clear" w:pos="708"/>
              </w:tabs>
              <w:jc w:val="left"/>
              <w:rPr>
                <w:rFonts w:ascii="Arial" w:hAnsi="Arial" w:eastAsia="Times New Roman" w:cs="Arial"/>
                <w:b/>
                <w:bCs/>
                <w:color w:val="000000"/>
                <w:sz w:val="17"/>
                <w:szCs w:val="17"/>
              </w:rPr>
            </w:pPr>
            <w:r>
              <w:rPr/>
            </w:r>
          </w:p>
        </w:tc>
        <w:tc>
          <w:tcPr>
            <w:tcW w:w="429"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cPr>
          <w:p>
            <w:pPr>
              <w:pStyle w:val="Normal"/>
              <w:tabs>
                <w:tab w:val="clear" w:pos="708"/>
              </w:tabs>
              <w:rPr>
                <w:rFonts w:ascii="Arial" w:hAnsi="Arial" w:eastAsia="Times New Roman" w:cs="Arial"/>
                <w:b/>
                <w:bCs/>
                <w:color w:val="000000"/>
                <w:sz w:val="17"/>
                <w:szCs w:val="17"/>
              </w:rPr>
            </w:pPr>
            <w:r>
              <w:rPr>
                <w:rFonts w:eastAsia="Times New Roman" w:cs="Arial" w:ascii="Arial" w:hAnsi="Arial"/>
                <w:b/>
                <w:bCs/>
                <w:color w:val="000000"/>
                <w:sz w:val="17"/>
                <w:szCs w:val="17"/>
              </w:rPr>
            </w:r>
          </w:p>
        </w:tc>
      </w:tr>
    </w:tbl>
    <w:p>
      <w:pPr>
        <w:pStyle w:val="Normal"/>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sectPr>
      <w:type w:val="nextPage"/>
      <w:pgSz w:w="11906" w:h="16838"/>
      <w:pgMar w:left="851" w:right="567" w:gutter="0" w:header="0" w:top="426"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Segoe UI">
    <w:charset w:val="01"/>
    <w:family w:val="swiss"/>
    <w:pitch w:val="default"/>
  </w:font>
  <w:font w:name="PT Astra Serif">
    <w:charset w:val="01"/>
    <w:family w:val="roman"/>
    <w:pitch w:val="default"/>
  </w:font>
  <w:font w:name="Arial">
    <w:charset w:val="01"/>
    <w:family w:val="swiss"/>
    <w:pitch w:val="default"/>
  </w:font>
</w:fonts>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33ea4"/>
    <w:pPr>
      <w:widowControl/>
      <w:suppressAutoHyphens w:val="true"/>
      <w:bidi w:val="0"/>
      <w:spacing w:before="0" w:after="0"/>
      <w:jc w:val="left"/>
    </w:pPr>
    <w:rPr>
      <w:rFonts w:ascii="Times New Roman" w:hAnsi="Times New Roman" w:eastAsia="" w:cs="Times New Roman" w:eastAsiaTheme="minorEastAsia"/>
      <w:color w:val="auto"/>
      <w:kern w:val="0"/>
      <w:sz w:val="24"/>
      <w:szCs w:val="24"/>
      <w:lang w:val="ru-RU" w:eastAsia="ru-RU" w:bidi="ar-SA"/>
    </w:rPr>
  </w:style>
  <w:style w:type="character" w:styleId="DefaultParagraphFont" w:default="1">
    <w:name w:val="Default Paragraph Font"/>
    <w:uiPriority w:val="1"/>
    <w:unhideWhenUsed/>
    <w:qFormat/>
    <w:rPr/>
  </w:style>
  <w:style w:type="character" w:styleId="Strong">
    <w:name w:val="Strong"/>
    <w:basedOn w:val="DefaultParagraphFont"/>
    <w:uiPriority w:val="22"/>
    <w:qFormat/>
    <w:rPr>
      <w:b/>
      <w:bCs/>
    </w:rPr>
  </w:style>
  <w:style w:type="character" w:styleId="admin" w:customStyle="1">
    <w:name w:val="admin"/>
    <w:basedOn w:val="DefaultParagraphFont"/>
    <w:qFormat/>
    <w:rPr/>
  </w:style>
  <w:style w:type="character" w:styleId="copy" w:customStyle="1">
    <w:name w:val="copy"/>
    <w:basedOn w:val="DefaultParagraphFont"/>
    <w:qFormat/>
    <w:rPr/>
  </w:style>
  <w:style w:type="character" w:styleId="head" w:customStyle="1">
    <w:name w:val="head"/>
    <w:basedOn w:val="DefaultParagraphFont"/>
    <w:qFormat/>
    <w:rPr/>
  </w:style>
  <w:style w:type="character" w:styleId="Style14" w:customStyle="1">
    <w:name w:val="Текст выноски Знак"/>
    <w:basedOn w:val="DefaultParagraphFont"/>
    <w:link w:val="BalloonText"/>
    <w:uiPriority w:val="99"/>
    <w:semiHidden/>
    <w:qFormat/>
    <w:rsid w:val="00672ca7"/>
    <w:rPr>
      <w:rFonts w:ascii="Segoe UI" w:hAnsi="Segoe UI" w:eastAsia="" w:cs="Segoe UI" w:eastAsiaTheme="minorEastAsia"/>
      <w:sz w:val="18"/>
      <w:szCs w:val="18"/>
    </w:rPr>
  </w:style>
  <w:style w:type="character" w:styleId="Hyperlink">
    <w:name w:val="Hyperlink"/>
    <w:basedOn w:val="DefaultParagraphFont"/>
    <w:uiPriority w:val="99"/>
    <w:unhideWhenUsed/>
    <w:rsid w:val="00670a0d"/>
    <w:rPr>
      <w:color w:themeColor="hyperlink" w:val="0563C1"/>
      <w:u w:val="single"/>
    </w:rPr>
  </w:style>
  <w:style w:type="character" w:styleId="UnresolvedMention" w:customStyle="1">
    <w:name w:val="Unresolved Mention"/>
    <w:basedOn w:val="DefaultParagraphFont"/>
    <w:uiPriority w:val="99"/>
    <w:semiHidden/>
    <w:unhideWhenUsed/>
    <w:qFormat/>
    <w:rsid w:val="00670a0d"/>
    <w:rPr>
      <w:color w:val="605E5C"/>
      <w:shd w:fill="E1DFDD" w:val="clear"/>
    </w:rPr>
  </w:style>
  <w:style w:type="character" w:styleId="CommentReference">
    <w:name w:val="annotation reference"/>
    <w:basedOn w:val="DefaultParagraphFont"/>
    <w:uiPriority w:val="99"/>
    <w:semiHidden/>
    <w:unhideWhenUsed/>
    <w:qFormat/>
    <w:rsid w:val="00aa08b4"/>
    <w:rPr>
      <w:sz w:val="16"/>
      <w:szCs w:val="16"/>
    </w:rPr>
  </w:style>
  <w:style w:type="character" w:styleId="Style15" w:customStyle="1">
    <w:name w:val="Текст примечания Знак"/>
    <w:basedOn w:val="DefaultParagraphFont"/>
    <w:uiPriority w:val="99"/>
    <w:semiHidden/>
    <w:qFormat/>
    <w:rsid w:val="00aa08b4"/>
    <w:rPr>
      <w:rFonts w:eastAsia="" w:eastAsiaTheme="minorEastAsia"/>
    </w:rPr>
  </w:style>
  <w:style w:type="character" w:styleId="Style16" w:customStyle="1">
    <w:name w:val="Тема примечания Знак"/>
    <w:basedOn w:val="Style15"/>
    <w:link w:val="annotationsubject"/>
    <w:uiPriority w:val="99"/>
    <w:semiHidden/>
    <w:qFormat/>
    <w:rsid w:val="00aa08b4"/>
    <w:rPr>
      <w:rFonts w:eastAsia="" w:eastAsiaTheme="minorEastAsia"/>
      <w:b/>
      <w:bCs/>
    </w:rPr>
  </w:style>
  <w:style w:type="character" w:styleId="FollowedHyperlink">
    <w:name w:val="FollowedHyperlink"/>
    <w:basedOn w:val="DefaultParagraphFont"/>
    <w:uiPriority w:val="99"/>
    <w:semiHidden/>
    <w:unhideWhenUsed/>
    <w:rsid w:val="00a77940"/>
    <w:rPr>
      <w:color w:themeColor="followedHyperlink" w:val="954F72"/>
      <w:u w:val="single"/>
    </w:rPr>
  </w:style>
  <w:style w:type="character" w:styleId="Style17" w:customStyle="1">
    <w:name w:val="Верхний колонтитул Знак"/>
    <w:basedOn w:val="DefaultParagraphFont"/>
    <w:uiPriority w:val="99"/>
    <w:qFormat/>
    <w:rsid w:val="00224d5d"/>
    <w:rPr>
      <w:rFonts w:eastAsia="" w:eastAsiaTheme="minorEastAsia"/>
      <w:sz w:val="24"/>
      <w:szCs w:val="24"/>
    </w:rPr>
  </w:style>
  <w:style w:type="character" w:styleId="Style18" w:customStyle="1">
    <w:name w:val="Нижний колонтитул Знак"/>
    <w:basedOn w:val="DefaultParagraphFont"/>
    <w:uiPriority w:val="99"/>
    <w:qFormat/>
    <w:rsid w:val="00224d5d"/>
    <w:rPr>
      <w:rFonts w:eastAsia="" w:eastAsiaTheme="minorEastAsia"/>
      <w:sz w:val="24"/>
      <w:szCs w:val="24"/>
    </w:rPr>
  </w:style>
  <w:style w:type="character" w:styleId="Style19">
    <w:name w:val="Символ концевой сноски"/>
    <w:qFormat/>
    <w:rPr/>
  </w:style>
  <w:style w:type="character" w:styleId="Style20">
    <w:name w:val="Символ сноски"/>
    <w:qFormat/>
    <w:rPr/>
  </w:style>
  <w:style w:type="character" w:styleId="WW8Num1z0">
    <w:name w:val="WW8Num1z0"/>
    <w:qFormat/>
    <w:rPr/>
  </w:style>
  <w:style w:type="character" w:styleId="WW8Num2z0">
    <w:name w:val="WW8Num2z0"/>
    <w:qFormat/>
    <w:rPr/>
  </w:style>
  <w:style w:type="character" w:styleId="WW8Num4z0">
    <w:name w:val="WW8Num4z0"/>
    <w:qFormat/>
    <w:rPr/>
  </w:style>
  <w:style w:type="character" w:styleId="WW8Num5z0">
    <w:name w:val="WW8Num5z0"/>
    <w:qFormat/>
    <w:rPr/>
  </w:style>
  <w:style w:type="character" w:styleId="Style21">
    <w:name w:val="Основной шрифт абзаца"/>
    <w:qFormat/>
    <w:rPr/>
  </w:style>
  <w:style w:type="paragraph" w:styleId="Style22">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3">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msonormal" w:customStyle="1">
    <w:name w:val="msonormal"/>
    <w:basedOn w:val="Normal"/>
    <w:qFormat/>
    <w:pPr>
      <w:spacing w:beforeAutospacing="1" w:afterAutospacing="1"/>
    </w:pPr>
    <w:rPr/>
  </w:style>
  <w:style w:type="paragraph" w:styleId="NormalWeb">
    <w:name w:val="Normal (Web)"/>
    <w:basedOn w:val="Normal"/>
    <w:uiPriority w:val="99"/>
    <w:unhideWhenUsed/>
    <w:qFormat/>
    <w:pPr>
      <w:spacing w:beforeAutospacing="1" w:afterAutospacing="1"/>
    </w:pPr>
    <w:rPr/>
  </w:style>
  <w:style w:type="paragraph" w:styleId="head1" w:customStyle="1">
    <w:name w:val="head1"/>
    <w:basedOn w:val="Normal"/>
    <w:qFormat/>
    <w:pPr>
      <w:spacing w:beforeAutospacing="1" w:afterAutospacing="1"/>
    </w:pPr>
    <w:rPr>
      <w:vanish/>
    </w:rPr>
  </w:style>
  <w:style w:type="paragraph" w:styleId="admin1" w:customStyle="1">
    <w:name w:val="admin1"/>
    <w:basedOn w:val="Normal"/>
    <w:qFormat/>
    <w:pPr>
      <w:spacing w:beforeAutospacing="1" w:afterAutospacing="1"/>
    </w:pPr>
    <w:rPr/>
  </w:style>
  <w:style w:type="paragraph" w:styleId="head2" w:customStyle="1">
    <w:name w:val="head2"/>
    <w:basedOn w:val="Normal"/>
    <w:qFormat/>
    <w:pPr>
      <w:spacing w:beforeAutospacing="1" w:afterAutospacing="1"/>
    </w:pPr>
    <w:rPr>
      <w:vanish/>
    </w:rPr>
  </w:style>
  <w:style w:type="paragraph" w:styleId="admin2" w:customStyle="1">
    <w:name w:val="admin2"/>
    <w:basedOn w:val="Normal"/>
    <w:qFormat/>
    <w:pPr>
      <w:spacing w:beforeAutospacing="1" w:afterAutospacing="1"/>
    </w:pPr>
    <w:rPr/>
  </w:style>
  <w:style w:type="paragraph" w:styleId="BalloonText">
    <w:name w:val="Balloon Text"/>
    <w:basedOn w:val="Normal"/>
    <w:link w:val="Style14"/>
    <w:uiPriority w:val="99"/>
    <w:semiHidden/>
    <w:unhideWhenUsed/>
    <w:qFormat/>
    <w:rsid w:val="00672ca7"/>
    <w:pPr/>
    <w:rPr>
      <w:rFonts w:ascii="Segoe UI" w:hAnsi="Segoe UI" w:cs="Segoe UI"/>
      <w:sz w:val="18"/>
      <w:szCs w:val="18"/>
    </w:rPr>
  </w:style>
  <w:style w:type="paragraph" w:styleId="CommentText">
    <w:name w:val="annotation text"/>
    <w:basedOn w:val="Normal"/>
    <w:link w:val="Style15"/>
    <w:uiPriority w:val="99"/>
    <w:semiHidden/>
    <w:unhideWhenUsed/>
    <w:rsid w:val="00aa08b4"/>
    <w:pPr/>
    <w:rPr>
      <w:sz w:val="20"/>
      <w:szCs w:val="20"/>
    </w:rPr>
  </w:style>
  <w:style w:type="paragraph" w:styleId="annotationsubject">
    <w:name w:val="annotation subject"/>
    <w:basedOn w:val="CommentText"/>
    <w:next w:val="CommentText"/>
    <w:link w:val="Style16"/>
    <w:uiPriority w:val="99"/>
    <w:semiHidden/>
    <w:unhideWhenUsed/>
    <w:qFormat/>
    <w:rsid w:val="00aa08b4"/>
    <w:pPr/>
    <w:rPr>
      <w:b/>
      <w:bCs/>
    </w:rPr>
  </w:style>
  <w:style w:type="paragraph" w:styleId="ConsPlusNormal" w:customStyle="1">
    <w:name w:val="ConsPlusNormal"/>
    <w:qFormat/>
    <w:rsid w:val="00fb6ddf"/>
    <w:pPr>
      <w:widowControl w:val="false"/>
      <w:suppressAutoHyphens w:val="true"/>
      <w:bidi w:val="0"/>
      <w:spacing w:before="0" w:after="0"/>
      <w:jc w:val="left"/>
    </w:pPr>
    <w:rPr>
      <w:rFonts w:ascii="Times New Roman" w:hAnsi="Times New Roman" w:eastAsia="" w:cs="Times New Roman" w:eastAsiaTheme="minorEastAsia"/>
      <w:color w:val="auto"/>
      <w:kern w:val="0"/>
      <w:sz w:val="24"/>
      <w:szCs w:val="24"/>
      <w:lang w:val="ru-RU" w:eastAsia="ru-RU" w:bidi="ar-SA"/>
    </w:rPr>
  </w:style>
  <w:style w:type="paragraph" w:styleId="Style24">
    <w:name w:val="Колонтитулы"/>
    <w:basedOn w:val="Normal"/>
    <w:qFormat/>
    <w:pPr/>
    <w:rPr/>
  </w:style>
  <w:style w:type="paragraph" w:styleId="user2">
    <w:name w:val="Колонтитулы (user)"/>
    <w:basedOn w:val="Normal"/>
    <w:qFormat/>
    <w:pPr/>
    <w:rPr/>
  </w:style>
  <w:style w:type="paragraph" w:styleId="Header">
    <w:name w:val="header"/>
    <w:basedOn w:val="Normal"/>
    <w:link w:val="Style17"/>
    <w:uiPriority w:val="99"/>
    <w:unhideWhenUsed/>
    <w:rsid w:val="00224d5d"/>
    <w:pPr>
      <w:tabs>
        <w:tab w:val="clear" w:pos="708"/>
        <w:tab w:val="center" w:pos="4677" w:leader="none"/>
        <w:tab w:val="right" w:pos="9355" w:leader="none"/>
      </w:tabs>
    </w:pPr>
    <w:rPr/>
  </w:style>
  <w:style w:type="paragraph" w:styleId="Footer">
    <w:name w:val="footer"/>
    <w:basedOn w:val="Normal"/>
    <w:link w:val="Style18"/>
    <w:uiPriority w:val="99"/>
    <w:unhideWhenUsed/>
    <w:rsid w:val="00224d5d"/>
    <w:pPr>
      <w:tabs>
        <w:tab w:val="clear" w:pos="708"/>
        <w:tab w:val="center" w:pos="4677" w:leader="none"/>
        <w:tab w:val="right" w:pos="9355" w:leader="none"/>
      </w:tabs>
    </w:pPr>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numbering" w:styleId="user5"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e">
    <w:name w:val="Table Grid"/>
    <w:basedOn w:val="a1"/>
    <w:uiPriority w:val="39"/>
    <w:rsid w:val="00c414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94F09-8230-4D71-B4F9-8231164C3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LibreOffice/25.8.3.2$Linux_X86_64 LibreOffice_project/580$Build-2</Application>
  <AppVersion>15.0000</AppVersion>
  <Pages>2</Pages>
  <Words>1301</Words>
  <Characters>10454</Characters>
  <CharactersWithSpaces>11637</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Райх</dc:creator>
  <dc:description/>
  <dc:language>ru-RU</dc:language>
  <cp:lastModifiedBy/>
  <dcterms:modified xsi:type="dcterms:W3CDTF">2026-07-31T10:11:49Z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